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sz w:val="22"/>
          <w:szCs w:val="22"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EXTRATO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PORTARIA IBASMA Nº </w:t>
      </w:r>
      <w:r>
        <w:rPr>
          <w:b/>
        </w:rPr>
        <w:t>068 DE 24 DE MAIO DE 2023</w:t>
      </w:r>
      <w:r>
        <w:rPr>
          <w:b/>
        </w:rPr>
        <w:t>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/>
      </w:pPr>
      <w:r>
        <w:rPr>
          <w:b/>
        </w:rPr>
        <w:t>Processo Administrativo IBASMA</w:t>
      </w:r>
      <w:r>
        <w:rPr/>
        <w:t xml:space="preserve"> nº </w:t>
      </w:r>
      <w:r>
        <w:rPr>
          <w:bCs/>
          <w:sz w:val="21"/>
          <w:szCs w:val="21"/>
        </w:rPr>
        <w:t>048 de 11 de novembro de 2004</w:t>
      </w:r>
      <w:r>
        <w:rPr/>
        <w:t>.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Objeto: </w:t>
      </w:r>
      <w:r>
        <w:rPr>
          <w:sz w:val="22"/>
          <w:szCs w:val="22"/>
        </w:rPr>
        <w:t xml:space="preserve">retificar a portaria nº </w:t>
      </w:r>
      <w:r>
        <w:rPr>
          <w:bCs/>
          <w:sz w:val="22"/>
          <w:szCs w:val="22"/>
        </w:rPr>
        <w:t>297 de 26 de julho de 2005</w:t>
      </w:r>
      <w:r>
        <w:rPr>
          <w:b/>
          <w:bCs/>
          <w:sz w:val="22"/>
          <w:szCs w:val="22"/>
        </w:rPr>
        <w:t xml:space="preserve"> </w:t>
      </w:r>
      <w:r>
        <w:rPr/>
        <w:t>de aposentadoria por invalidez.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Servidor: </w:t>
      </w:r>
      <w:r>
        <w:rPr>
          <w:bCs/>
          <w:sz w:val="22"/>
          <w:szCs w:val="22"/>
        </w:rPr>
        <w:t>Antônio José de Araújo</w:t>
      </w:r>
      <w:r>
        <w:rPr>
          <w:bCs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bCs/>
        </w:rPr>
        <w:t xml:space="preserve">Cargo: </w:t>
      </w:r>
      <w:r>
        <w:rPr>
          <w:sz w:val="22"/>
          <w:szCs w:val="22"/>
        </w:rPr>
        <w:t>Agente de Serviços Gerais, Classe C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Lotação: </w:t>
      </w:r>
      <w:r>
        <w:rPr/>
        <w:t>Subprefeitura de São Vicente</w:t>
      </w:r>
      <w:bookmarkStart w:id="0" w:name="_GoBack"/>
      <w:bookmarkEnd w:id="0"/>
      <w:r>
        <w:rPr/>
        <w:t>.</w:t>
      </w:r>
    </w:p>
    <w:p>
      <w:pPr>
        <w:pStyle w:val="Normal"/>
        <w:spacing w:before="0" w:after="0"/>
        <w:jc w:val="both"/>
        <w:rPr/>
      </w:pPr>
      <w:r>
        <w:rPr>
          <w:b/>
        </w:rPr>
        <w:t>Matrícula</w:t>
      </w:r>
      <w:r>
        <w:rPr/>
        <w:t xml:space="preserve"> nº 326</w:t>
      </w:r>
    </w:p>
    <w:p>
      <w:pPr>
        <w:pStyle w:val="Normal"/>
        <w:spacing w:before="0" w:after="0"/>
        <w:jc w:val="both"/>
        <w:rPr/>
      </w:pPr>
      <w:r>
        <w:rPr>
          <w:b/>
        </w:rPr>
        <w:t>Valor do benefício:</w:t>
      </w:r>
      <w:r>
        <w:rPr/>
        <w:t xml:space="preserve"> R$ </w:t>
      </w:r>
      <w:r>
        <w:rPr>
          <w:bCs/>
          <w:sz w:val="22"/>
          <w:szCs w:val="22"/>
        </w:rPr>
        <w:t>290,40 (duzentos e noventa reais e quarenta centavos).</w:t>
      </w:r>
    </w:p>
    <w:p>
      <w:pPr>
        <w:pStyle w:val="Normal"/>
        <w:spacing w:before="0" w:after="0"/>
        <w:jc w:val="both"/>
        <w:rPr/>
      </w:pPr>
      <w:r>
        <w:rPr>
          <w:b/>
        </w:rPr>
        <w:t>Fundamentação Legal</w:t>
      </w:r>
      <w:r>
        <w:rPr/>
        <w:t xml:space="preserve">: </w:t>
      </w:r>
      <w:r>
        <w:rPr>
          <w:sz w:val="22"/>
          <w:szCs w:val="22"/>
        </w:rPr>
        <w:t>§1º, II, do art. 40 da CRFB/1988 com a redação que lhe deu a EC 41/2003 c/c inciso I do artigo 20 da Lei Orgânica do Município, artigo 97, inciso I, da Lei Municipal nº 548 de 08 de julho de 1986 e</w:t>
      </w:r>
      <w:r>
        <w:rPr>
          <w:bCs/>
        </w:rPr>
        <w:t xml:space="preserve"> decisão judicial do processo nº 0008332-48.2007.8.19.0052</w:t>
      </w:r>
      <w:r>
        <w:rPr>
          <w:sz w:val="22"/>
          <w:szCs w:val="22"/>
        </w:rPr>
        <w:t>.</w:t>
      </w:r>
    </w:p>
    <w:p>
      <w:pPr>
        <w:pStyle w:val="NoSpacing"/>
        <w:spacing w:before="0" w:after="0"/>
        <w:jc w:val="both"/>
        <w:rPr/>
      </w:pPr>
      <w:r>
        <w:rPr>
          <w:rFonts w:ascii="Times New Roman" w:hAnsi="Times New Roman"/>
          <w:b/>
        </w:rPr>
        <w:t>Reajuste:</w:t>
      </w:r>
      <w:r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>
        <w:rPr>
          <w:rFonts w:ascii="Times New Roman" w:hAnsi="Times New Roman"/>
          <w:b/>
        </w:rPr>
        <w:t>desprovido de paridade</w:t>
      </w:r>
      <w:r>
        <w:rPr>
          <w:rFonts w:ascii="Times New Roman" w:hAnsi="Times New Roman"/>
        </w:rPr>
        <w:t xml:space="preserve"> com os servidores ativos. </w:t>
      </w:r>
      <w:r>
        <w:rPr>
          <w:rFonts w:ascii="Times New Roman" w:hAnsi="Times New Roman"/>
          <w:b/>
        </w:rPr>
        <w:t xml:space="preserve">APLICAR-SE-Á </w:t>
      </w:r>
      <w:r>
        <w:rPr>
          <w:rFonts w:ascii="Times New Roman" w:hAnsi="Times New Roman"/>
        </w:rPr>
        <w:t>ao benefício os efeitos da Súmula Vinculante – STF nº 16, consagrando ao provento a complementação ao salário-mínimo federal, quando de sua efetiva aplicação pecuniária</w:t>
      </w:r>
    </w:p>
    <w:p>
      <w:pPr>
        <w:pStyle w:val="Normal"/>
        <w:tabs>
          <w:tab w:val="clear" w:pos="708"/>
          <w:tab w:val="left" w:pos="-1920" w:leader="none"/>
        </w:tabs>
        <w:spacing w:before="0" w:after="0"/>
        <w:jc w:val="both"/>
        <w:rPr/>
      </w:pPr>
      <w:r>
        <w:rPr>
          <w:b/>
        </w:rPr>
        <w:t xml:space="preserve">Vigência: </w:t>
      </w:r>
      <w:r>
        <w:rPr/>
        <w:t>Esta portaria entra em vigor na data de sua assinatura.</w:t>
      </w:r>
    </w:p>
    <w:p>
      <w:pPr>
        <w:pStyle w:val="Normal"/>
        <w:tabs>
          <w:tab w:val="clear" w:pos="708"/>
          <w:tab w:val="left" w:pos="-192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-1920" w:leader="none"/>
        </w:tabs>
        <w:spacing w:lineRule="auto" w:line="276"/>
        <w:jc w:val="center"/>
        <w:rPr/>
      </w:pPr>
      <w:r>
        <w:rPr>
          <w:bCs/>
        </w:rPr>
        <w:t>Registre-se. Publique-se. Cumpra-se.</w:t>
      </w:r>
    </w:p>
    <w:p>
      <w:pPr>
        <w:pStyle w:val="Normal"/>
        <w:spacing w:lineRule="auto" w:line="276"/>
        <w:ind w:right="-710" w:hanging="0"/>
        <w:jc w:val="center"/>
        <w:rPr/>
      </w:pPr>
      <w:r>
        <w:rPr>
          <w:bCs/>
        </w:rPr>
        <w:t xml:space="preserve">Gabinete da Presidência, </w:t>
      </w:r>
      <w:r>
        <w:rPr>
          <w:bCs/>
        </w:rPr>
        <w:t xml:space="preserve">24 de maio </w:t>
      </w:r>
      <w:r>
        <w:rPr>
          <w:bCs/>
        </w:rPr>
        <w:t>de 2023.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Maciley dos Santos Amorim</w:t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Presidente do IBASMA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1"/>
        </w:rPr>
      </w:pPr>
      <w:r>
        <w:rPr>
          <w:szCs w:val="21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041" w:footer="284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NGER SemiExpand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19050" distL="0" distR="25400" simplePos="0" locked="0" layoutInCell="0" allowOverlap="1" relativeHeight="4" wp14:anchorId="481B3B33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635" b="8255"/>
              <wp:wrapNone/>
              <wp:docPr id="4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481B3B33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PAGE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de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NUMPAGES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6" w:color="000000"/>
      </w:pBdr>
      <w:tabs>
        <w:tab w:val="clear" w:pos="708"/>
        <w:tab w:val="left" w:pos="3735" w:leader="none"/>
        <w:tab w:val="center" w:pos="5233" w:leader="none"/>
      </w:tabs>
      <w:rPr>
        <w:rFonts w:ascii="SONGER SemiExpanded" w:hAnsi="SONGER SemiExpanded"/>
        <w:bCs/>
      </w:rPr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4648200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580765" cy="638175"/>
          <wp:effectExtent l="0" t="0" r="0" b="0"/>
          <wp:docPr id="2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0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83030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83030"/>
    <w:rPr>
      <w:rFonts w:ascii="Segoe UI" w:hAnsi="Segoe UI" w:eastAsia="Times New Roman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985565"/>
    <w:rPr>
      <w:b/>
      <w:bCs/>
    </w:rPr>
  </w:style>
  <w:style w:type="character" w:styleId="Nfase">
    <w:name w:val="Emphasis"/>
    <w:basedOn w:val="DefaultParagraphFont"/>
    <w:uiPriority w:val="20"/>
    <w:qFormat/>
    <w:rsid w:val="00985565"/>
    <w:rPr>
      <w:i/>
      <w:iCs/>
    </w:rPr>
  </w:style>
  <w:style w:type="character" w:styleId="SubttuloChar" w:customStyle="1">
    <w:name w:val="Subtítulo Char"/>
    <w:basedOn w:val="DefaultParagraphFont"/>
    <w:uiPriority w:val="11"/>
    <w:qFormat/>
    <w:rsid w:val="003d71cb"/>
    <w:rPr>
      <w:rFonts w:ascii="Cambria" w:hAnsi="Cambria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2830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303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5565"/>
    <w:pPr>
      <w:spacing w:beforeAutospacing="1" w:afterAutospacing="1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44b7b"/>
    <w:pPr>
      <w:spacing w:before="0" w:after="0"/>
      <w:ind w:left="720" w:hanging="0"/>
      <w:contextualSpacing/>
    </w:pPr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LibreOffice/7.4.3.2$Windows_X86_64 LibreOffice_project/1048a8393ae2eeec98dff31b5c133c5f1d08b890</Application>
  <AppVersion>15.0000</AppVersion>
  <Pages>1</Pages>
  <Words>223</Words>
  <Characters>1136</Characters>
  <CharactersWithSpaces>1385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2023-05-18T19:16:00Z</dcterms:created>
  <dc:creator>Maciley Amorim</dc:creator>
  <dc:description/>
  <dc:language>pt-BR</dc:language>
  <cp:lastModifiedBy/>
  <cp:lastPrinted>2023-05-24T10:21:21Z</cp:lastPrinted>
  <dcterms:modified xsi:type="dcterms:W3CDTF">2023-05-24T10:21:12Z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